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</w:rPr>
      </w:pPr>
      <w:bookmarkStart w:id="0" w:name="_GoBack"/>
      <w:bookmarkEnd w:id="0"/>
    </w:p>
    <w:p w:rsidR="003F0280" w:rsidRPr="00B031AF" w:rsidRDefault="003F0280" w:rsidP="003F0280">
      <w:pPr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BD6EB2" w:rsidRPr="00BD6EB2" w:rsidRDefault="00BD6EB2" w:rsidP="00BD6EB2">
      <w:pPr>
        <w:spacing w:line="360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  <w:r w:rsidRPr="00BD6EB2"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  <w:t>Postępowanie nr 2023-1029</w:t>
      </w:r>
    </w:p>
    <w:p w:rsidR="00BD6EB2" w:rsidRPr="00BD6EB2" w:rsidRDefault="00BD6EB2" w:rsidP="00BD6EB2">
      <w:pPr>
        <w:spacing w:line="360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  <w:r w:rsidRPr="00BD6EB2"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  <w:t xml:space="preserve"> </w:t>
      </w:r>
    </w:p>
    <w:p w:rsidR="00BD6EB2" w:rsidRPr="00BD6EB2" w:rsidRDefault="00BD6EB2" w:rsidP="00BD6E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BD6EB2">
        <w:rPr>
          <w:rFonts w:ascii="Arial" w:eastAsia="Calibri" w:hAnsi="Arial" w:cs="Arial"/>
          <w:color w:val="404040" w:themeColor="text1" w:themeTint="BF"/>
          <w:sz w:val="18"/>
          <w:szCs w:val="18"/>
        </w:rPr>
        <w:t>Dostawa sprzętu medycznego w ramach Projektu pn. "Poprawa jakości i dostępności do świadczeń medycznych w zakresie leczenia szpitalnego ogólnego stanowiących podstawową przyczynę dezaktywizacji zawodowej poprzez zakup sprzętu medycznego w Nowym Szpitalu w Wąbrzeźnie  Sp. z o.o. ( nr naboru RPKP.06.01.01-IŻ.00-04-438/23)</w:t>
      </w:r>
    </w:p>
    <w:p w:rsidR="00F30AC1" w:rsidRPr="00B031AF" w:rsidRDefault="00F30AC1" w:rsidP="00FE11F7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904089" w:rsidRPr="00B031AF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031AF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B031AF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:rsidR="00F76E11" w:rsidRPr="00B031AF" w:rsidRDefault="00F76E11" w:rsidP="00F76E11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627F29" w:rsidRPr="00B031AF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031AF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:rsidR="008F0EFD" w:rsidRPr="00B031AF" w:rsidRDefault="008F0EFD" w:rsidP="008F0E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B031AF" w:rsidRDefault="00D165E9" w:rsidP="001E0F9B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Zamawiający:</w:t>
      </w:r>
    </w:p>
    <w:p w:rsidR="00904089" w:rsidRPr="00B031AF" w:rsidRDefault="00B031AF" w:rsidP="008F0EFD">
      <w:pPr>
        <w:pStyle w:val="Zwykytekst1"/>
        <w:spacing w:line="276" w:lineRule="auto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Nowy Szpital w Wąbrzeźnie </w:t>
      </w:r>
      <w:r w:rsidR="00904089"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Sp. z o.o. </w:t>
      </w: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,ul. Wolności 27, 87-200 Wąbrzeźno , NIP 8522528856</w:t>
      </w:r>
    </w:p>
    <w:p w:rsidR="00D165E9" w:rsidRPr="00B031AF" w:rsidRDefault="00D165E9" w:rsidP="001E0F9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Organizator przetargu:</w:t>
      </w:r>
    </w:p>
    <w:p w:rsidR="008D3C05" w:rsidRPr="00B031AF" w:rsidRDefault="008808AD" w:rsidP="001E0F9B">
      <w:pPr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      </w:t>
      </w:r>
      <w:r w:rsidR="00D165E9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olding S.A, ul. Zbożowa 4, </w:t>
      </w:r>
      <w:r w:rsidR="003E0528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</w:t>
      </w:r>
      <w:r w:rsidR="00D165E9" w:rsidRPr="00B031AF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</w:t>
      </w:r>
    </w:p>
    <w:p w:rsidR="00D165E9" w:rsidRPr="00B031AF" w:rsidRDefault="008D3C05" w:rsidP="001E0F9B">
      <w:pPr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      Zamawiającego</w:t>
      </w:r>
    </w:p>
    <w:p w:rsidR="00D165E9" w:rsidRPr="00B031AF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4D6756" w:rsidRDefault="004D6756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7D60C4" w:rsidRPr="00B031AF" w:rsidRDefault="007D60C4" w:rsidP="007D60C4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340"/>
        <w:gridCol w:w="443"/>
        <w:gridCol w:w="146"/>
        <w:gridCol w:w="421"/>
      </w:tblGrid>
      <w:tr w:rsidR="007D60C4" w:rsidRPr="007D60C4" w:rsidTr="007D60C4">
        <w:trPr>
          <w:trHeight w:val="41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Resektoskop z diatermią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7D60C4" w:rsidRPr="007D60C4" w:rsidTr="007D60C4">
        <w:trPr>
          <w:trHeight w:val="3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C4" w:rsidRPr="007D60C4" w:rsidRDefault="007D60C4" w:rsidP="007D60C4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Optyka laparoskopowa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7D60C4" w:rsidRPr="007D60C4" w:rsidTr="007D60C4">
        <w:trPr>
          <w:trHeight w:val="3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Optyka do resektoskopu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7D60C4" w:rsidRPr="007D60C4" w:rsidTr="007D60C4">
        <w:trPr>
          <w:trHeight w:val="3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Optyka artroskopowa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7D60C4" w:rsidRPr="007D60C4" w:rsidTr="007D60C4">
        <w:trPr>
          <w:trHeight w:val="39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Aparat USG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7D60C4" w:rsidRPr="007D60C4" w:rsidTr="007D60C4">
        <w:trPr>
          <w:trHeight w:val="3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C4" w:rsidRPr="007D60C4" w:rsidRDefault="007D60C4" w:rsidP="007D60C4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Aparat RTG cyfrowy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7D60C4" w:rsidRPr="007D60C4" w:rsidTr="007D60C4">
        <w:trPr>
          <w:trHeight w:val="35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C4" w:rsidRPr="007D60C4" w:rsidRDefault="007D60C4" w:rsidP="007D60C4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Aparat RTG mobilny - cyfrowy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7D60C4" w:rsidRPr="007D60C4" w:rsidTr="007D60C4">
        <w:trPr>
          <w:trHeight w:val="3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C4" w:rsidRPr="007D60C4" w:rsidRDefault="007D60C4" w:rsidP="007D60C4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System zamykania naczyń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7D60C4" w:rsidRPr="007D60C4" w:rsidTr="007D60C4">
        <w:trPr>
          <w:trHeight w:val="3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C4" w:rsidRPr="007D60C4" w:rsidRDefault="007D60C4" w:rsidP="007D60C4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Wieża laparoskopowo- artroskopowa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C4" w:rsidRPr="007D60C4" w:rsidRDefault="007D60C4" w:rsidP="007D60C4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7D60C4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</w:tbl>
    <w:p w:rsidR="00ED0073" w:rsidRDefault="00ED0073" w:rsidP="004D6756">
      <w:p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i/>
          <w:sz w:val="18"/>
          <w:szCs w:val="18"/>
        </w:rPr>
        <w:fldChar w:fldCharType="begin"/>
      </w:r>
      <w:r>
        <w:rPr>
          <w:rFonts w:ascii="Arial" w:hAnsi="Arial" w:cs="Arial"/>
          <w:i/>
          <w:sz w:val="18"/>
          <w:szCs w:val="18"/>
        </w:rPr>
        <w:instrText xml:space="preserve"> LINK </w:instrText>
      </w:r>
      <w:r w:rsidR="00C316A7">
        <w:rPr>
          <w:rFonts w:ascii="Arial" w:hAnsi="Arial" w:cs="Arial"/>
          <w:i/>
          <w:sz w:val="18"/>
          <w:szCs w:val="18"/>
        </w:rPr>
        <w:instrText xml:space="preserve">Excel.Sheet.12 "C:\\Users\\ewa.januszaniec\\Desktop\\Documents\\przetargi 2022\\2022-1005 Olkusz SOR\\2022-1005  Szczegółowa oferta cenowa.xlsx" "Formularz nr 2!W3K2:W11K12" </w:instrText>
      </w:r>
      <w:r>
        <w:rPr>
          <w:rFonts w:ascii="Arial" w:hAnsi="Arial" w:cs="Arial"/>
          <w:i/>
          <w:sz w:val="18"/>
          <w:szCs w:val="18"/>
        </w:rPr>
        <w:instrText xml:space="preserve">\a \f 5 \h  \* MERGEFORMAT </w:instrText>
      </w:r>
      <w:r>
        <w:rPr>
          <w:rFonts w:ascii="Arial" w:hAnsi="Arial" w:cs="Arial"/>
          <w:i/>
          <w:sz w:val="18"/>
          <w:szCs w:val="18"/>
        </w:rPr>
        <w:fldChar w:fldCharType="separate"/>
      </w:r>
    </w:p>
    <w:p w:rsidR="00F87FCE" w:rsidRPr="00ED0073" w:rsidRDefault="00ED0073" w:rsidP="00ED007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</w:t>
      </w: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6F2367" w:rsidRPr="00922229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nie zachodzą w stosunku do Oferenta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6F2367" w:rsidRPr="006F2367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6F2367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Warunkiem uznania przez Zamawiającego, iż sytuacja ekonomiczna i finansowa Oferenta zapewnia należyte wykonanie zamówienia jest złożenie oświadczenia zawartego w Formularzu Ofertowym.</w:t>
      </w:r>
    </w:p>
    <w:p w:rsidR="006F2367" w:rsidRPr="006F2367" w:rsidRDefault="00D165E9" w:rsidP="006F2367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>tiret</w:t>
      </w:r>
      <w:proofErr w:type="spellEnd"/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 iv) jest złożenie oświadczenia zawartego w Formularzu Ofertowym.</w:t>
      </w:r>
    </w:p>
    <w:p w:rsidR="00D165E9" w:rsidRPr="006F2367" w:rsidRDefault="006F2367" w:rsidP="006F2367">
      <w:pPr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w stosunku do Oferenta nie zachodzą przesłanki wykluczenia z postępowania, o których mowa w lit. a) </w:t>
      </w:r>
      <w:proofErr w:type="spellStart"/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>tiret</w:t>
      </w:r>
      <w:proofErr w:type="spellEnd"/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 xml:space="preserve"> v) jest złożenie, na pisemne wezwanie przez Zamawiającego, przez Oferenta, którego oferta uznana zostanie za najkorzystniejszą oświadczenia, którego wzór stanowi Załącznik nr 7 do niniejszych Warunków – Oświadczenie o braku powiązań kapitałowych i osobowych z innymi Oferentami.</w:t>
      </w:r>
    </w:p>
    <w:p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1" w:name="mip13073756"/>
      <w:bookmarkEnd w:id="1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4" w:name="highlightHit_260"/>
      <w:bookmarkEnd w:id="4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 xml:space="preserve">Organizator ma prawo wezwać Oferentów, którzy w określonym terminie nie złożą wymaganych przez Organizatora  oświadczeń lub dokumentów, o </w:t>
      </w:r>
      <w:r w:rsidR="00DB3873">
        <w:rPr>
          <w:rStyle w:val="FontStyle24"/>
          <w:color w:val="404040" w:themeColor="text1" w:themeTint="BF"/>
        </w:rPr>
        <w:t>których mowa w ust. 5) lit. b),</w:t>
      </w:r>
      <w:r w:rsidRPr="001D3B7D">
        <w:rPr>
          <w:rStyle w:val="FontStyle24"/>
          <w:color w:val="404040" w:themeColor="text1" w:themeTint="BF"/>
        </w:rPr>
        <w:t xml:space="preserve"> c),</w:t>
      </w:r>
      <w:r w:rsidR="00DB3873">
        <w:rPr>
          <w:rStyle w:val="FontStyle24"/>
          <w:color w:val="404040" w:themeColor="text1" w:themeTint="BF"/>
        </w:rPr>
        <w:t xml:space="preserve"> d)</w:t>
      </w:r>
      <w:r w:rsidRPr="001D3B7D">
        <w:rPr>
          <w:rStyle w:val="FontStyle24"/>
          <w:color w:val="404040" w:themeColor="text1" w:themeTint="BF"/>
        </w:rPr>
        <w:t xml:space="preserve">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FB402F" w:rsidRPr="001D3B7D" w:rsidRDefault="00FB402F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FB402F" w:rsidRPr="00BD6EB2" w:rsidRDefault="00FB402F" w:rsidP="00FB402F">
      <w:pPr>
        <w:spacing w:line="360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  <w:t>Postępowanie nr 2023-1029</w:t>
      </w:r>
    </w:p>
    <w:p w:rsidR="00FB402F" w:rsidRPr="00BD6EB2" w:rsidRDefault="00FB402F" w:rsidP="00FB402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BD6EB2">
        <w:rPr>
          <w:rFonts w:ascii="Arial" w:eastAsia="Calibri" w:hAnsi="Arial" w:cs="Arial"/>
          <w:color w:val="404040" w:themeColor="text1" w:themeTint="BF"/>
          <w:sz w:val="18"/>
          <w:szCs w:val="18"/>
        </w:rPr>
        <w:t>Dostawa sprzętu medycznego w ramach Projektu pn. "Poprawa jakości i dostępności do świadczeń medycznych w zakresie leczenia szpitalnego ogólnego stanowiących podstawową przyczynę dezaktywizacji zawodowej poprzez zakup sprzętu medycznego w Nowym Szpitalu w Wąbrzeźnie  Sp. z o.o. ( nr naboru RPKP.06.01.01-IŻ.00-04-438/23)</w:t>
      </w:r>
    </w:p>
    <w:p w:rsidR="00D165E9" w:rsidRPr="00581A17" w:rsidRDefault="002C4730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EA3B1E">
        <w:rPr>
          <w:rFonts w:ascii="Arial" w:hAnsi="Arial" w:cs="Arial"/>
          <w:color w:val="404040" w:themeColor="text1" w:themeTint="BF"/>
          <w:sz w:val="18"/>
          <w:szCs w:val="18"/>
        </w:rPr>
        <w:t xml:space="preserve">e otwierać przed </w:t>
      </w:r>
      <w:r w:rsidR="007D60C4">
        <w:rPr>
          <w:rFonts w:ascii="Arial" w:hAnsi="Arial" w:cs="Arial"/>
          <w:color w:val="404040" w:themeColor="text1" w:themeTint="BF"/>
          <w:sz w:val="18"/>
          <w:szCs w:val="18"/>
        </w:rPr>
        <w:t>12.06</w:t>
      </w:r>
      <w:r w:rsidR="00880B89">
        <w:rPr>
          <w:rFonts w:ascii="Arial" w:hAnsi="Arial" w:cs="Arial"/>
          <w:color w:val="404040" w:themeColor="text1" w:themeTint="BF"/>
          <w:sz w:val="18"/>
          <w:szCs w:val="18"/>
        </w:rPr>
        <w:t>.2023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 xml:space="preserve">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lit.g</w:t>
      </w:r>
      <w:proofErr w:type="spellEnd"/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się/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nie dopuszcza</w:t>
      </w:r>
      <w:r w:rsidRPr="00520E56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o niego  nie później niż </w:t>
      </w:r>
      <w:r w:rsidR="00A71C38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7</w:t>
      </w:r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EA3B1E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</w:t>
      </w:r>
      <w:r w:rsidR="007D60C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12.06</w:t>
      </w:r>
      <w:r w:rsidR="00880B8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.2023</w:t>
      </w:r>
      <w:r w:rsidR="00484E5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</w:t>
      </w:r>
      <w:r w:rsidR="007D60C4">
        <w:rPr>
          <w:rFonts w:ascii="Arial" w:hAnsi="Arial" w:cs="Arial"/>
          <w:b/>
          <w:color w:val="404040" w:themeColor="text1" w:themeTint="BF"/>
          <w:sz w:val="18"/>
          <w:szCs w:val="18"/>
        </w:rPr>
        <w:t>okres 12</w:t>
      </w:r>
      <w:r w:rsidR="00A81EA2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treść nie odpowiada treści Warunków, z zastrzeżeniem ust. 5) lit. g) i ust. 13) lit. c);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AE2CB0" w:rsidRPr="00630946" w:rsidRDefault="00D165E9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„Okres gwarancji” (zwany dalej również jako „OG”). Parametr definiowany przez Zamawiającego jako: zaoferowany, wyrażony w miesiącach, okres gwarancji na sprzęt, którego zakup stanowi przedmiot zadania nr 1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).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riom następujące rangi: Cena - 70%,  okres gwarancji - 3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:rsidR="00D165E9" w:rsidRPr="001D3B7D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8C1872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7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Sposób obliczania wartości punktowej kryterium Okres gwarancji. Wartość punktowa kryterium Okres gwarancji zostanie wyliczona wg poniższego wzoru:</w:t>
      </w:r>
    </w:p>
    <w:p w:rsidR="00D165E9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7D60C4" w:rsidRPr="001D3B7D" w:rsidRDefault="007D60C4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Okres Gwarancji</w:t>
      </w:r>
    </w:p>
    <w:p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3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najdłuższy zaoferowany Okres Gwarancji</w:t>
      </w:r>
    </w:p>
    <w:p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ga: minimalny wymagany przez Zamawiającego okres gwarancji na sprzęt, którego zakup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stanowią poszczególne zadania 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zadań/</w:t>
      </w:r>
      <w:r w:rsidRPr="001F5EDB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pakietów.</w:t>
      </w:r>
    </w:p>
    <w:p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OKO. Wartość OKO dla  ocenianej  oferty zostanie wyliczona  wg poniższego wzoru:</w:t>
      </w:r>
    </w:p>
    <w:p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130A83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EA3B1E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7D60C4">
        <w:rPr>
          <w:rFonts w:ascii="Arial" w:hAnsi="Arial" w:cs="Arial"/>
          <w:color w:val="404040" w:themeColor="text1" w:themeTint="BF"/>
          <w:sz w:val="18"/>
          <w:szCs w:val="18"/>
        </w:rPr>
        <w:t>09.05.2023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8C187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7D60C4">
        <w:rPr>
          <w:rFonts w:ascii="Arial" w:hAnsi="Arial" w:cs="Arial"/>
          <w:color w:val="404040" w:themeColor="text1" w:themeTint="BF"/>
          <w:sz w:val="18"/>
          <w:szCs w:val="18"/>
        </w:rPr>
        <w:t>09.05.2023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  <w:r w:rsidR="00FF16DA">
        <w:rPr>
          <w:rFonts w:ascii="Arial" w:hAnsi="Arial" w:cs="Arial"/>
          <w:color w:val="404040" w:themeColor="text1" w:themeTint="BF"/>
          <w:sz w:val="18"/>
          <w:szCs w:val="18"/>
        </w:rPr>
        <w:t xml:space="preserve"> wraz z protokołem zdawczo odbiorczym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6F2367" w:rsidRPr="006F2367" w:rsidRDefault="007B42DA" w:rsidP="006F236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6F2367" w:rsidRPr="008A7860" w:rsidRDefault="006F2367" w:rsidP="006F236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z innymi Oferentami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83" w:rsidRDefault="00130A83" w:rsidP="00F86656">
      <w:r>
        <w:separator/>
      </w:r>
    </w:p>
  </w:endnote>
  <w:endnote w:type="continuationSeparator" w:id="0">
    <w:p w:rsidR="00130A83" w:rsidRDefault="00130A83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A7">
          <w:rPr>
            <w:noProof/>
          </w:rPr>
          <w:t>10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83" w:rsidRDefault="00130A83" w:rsidP="00F86656">
      <w:r>
        <w:separator/>
      </w:r>
    </w:p>
  </w:footnote>
  <w:footnote w:type="continuationSeparator" w:id="0">
    <w:p w:rsidR="00130A83" w:rsidRDefault="00130A83" w:rsidP="00F86656">
      <w:r>
        <w:continuationSeparator/>
      </w:r>
    </w:p>
  </w:footnote>
  <w:footnote w:id="1">
    <w:p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96CB3"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wyklucza się:</w:t>
      </w:r>
    </w:p>
    <w:p w:rsidR="006F2367" w:rsidRPr="00296CB3" w:rsidRDefault="006F2367" w:rsidP="006F236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2367" w:rsidRDefault="006F2367" w:rsidP="006F2367">
      <w:pPr>
        <w:pStyle w:val="Tekstprzypisudolnego"/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1E" w:rsidRDefault="0022211E">
    <w:pPr>
      <w:pStyle w:val="Nagwek"/>
    </w:pPr>
    <w:r>
      <w:rPr>
        <w:noProof/>
        <w:lang w:eastAsia="pl-PL"/>
      </w:rPr>
      <w:drawing>
        <wp:inline distT="0" distB="0" distL="0" distR="0" wp14:anchorId="212390E2" wp14:editId="1D25A18A">
          <wp:extent cx="5753100" cy="9677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09B8"/>
    <w:rsid w:val="00046B39"/>
    <w:rsid w:val="000478C6"/>
    <w:rsid w:val="00054B2D"/>
    <w:rsid w:val="000654A5"/>
    <w:rsid w:val="000841AD"/>
    <w:rsid w:val="000D7AAB"/>
    <w:rsid w:val="000E7900"/>
    <w:rsid w:val="000F2FC1"/>
    <w:rsid w:val="00116E03"/>
    <w:rsid w:val="00130A83"/>
    <w:rsid w:val="0013119C"/>
    <w:rsid w:val="00141105"/>
    <w:rsid w:val="001441A7"/>
    <w:rsid w:val="001566D6"/>
    <w:rsid w:val="00167091"/>
    <w:rsid w:val="001A3529"/>
    <w:rsid w:val="001A476C"/>
    <w:rsid w:val="001B6482"/>
    <w:rsid w:val="001C6288"/>
    <w:rsid w:val="001D066F"/>
    <w:rsid w:val="001D3B7D"/>
    <w:rsid w:val="001D6FC2"/>
    <w:rsid w:val="001E0F9B"/>
    <w:rsid w:val="001E4AE4"/>
    <w:rsid w:val="001F187E"/>
    <w:rsid w:val="001F5EDB"/>
    <w:rsid w:val="001F6A7B"/>
    <w:rsid w:val="001F7628"/>
    <w:rsid w:val="0020460C"/>
    <w:rsid w:val="0022211E"/>
    <w:rsid w:val="00225798"/>
    <w:rsid w:val="00231FE9"/>
    <w:rsid w:val="00232482"/>
    <w:rsid w:val="002365CA"/>
    <w:rsid w:val="002435D9"/>
    <w:rsid w:val="00244532"/>
    <w:rsid w:val="00244A9E"/>
    <w:rsid w:val="0025388F"/>
    <w:rsid w:val="00257EDA"/>
    <w:rsid w:val="002624C5"/>
    <w:rsid w:val="00263F68"/>
    <w:rsid w:val="002665AC"/>
    <w:rsid w:val="00276304"/>
    <w:rsid w:val="00282D10"/>
    <w:rsid w:val="002A240B"/>
    <w:rsid w:val="002C4730"/>
    <w:rsid w:val="002C5CC7"/>
    <w:rsid w:val="002D2D78"/>
    <w:rsid w:val="002E5581"/>
    <w:rsid w:val="003068B0"/>
    <w:rsid w:val="00322FB5"/>
    <w:rsid w:val="003626F3"/>
    <w:rsid w:val="00362C10"/>
    <w:rsid w:val="00365345"/>
    <w:rsid w:val="00372D25"/>
    <w:rsid w:val="003B0A36"/>
    <w:rsid w:val="003B3E71"/>
    <w:rsid w:val="003B5F55"/>
    <w:rsid w:val="003C56F4"/>
    <w:rsid w:val="003D5DB0"/>
    <w:rsid w:val="003E0528"/>
    <w:rsid w:val="003F0280"/>
    <w:rsid w:val="003F39C5"/>
    <w:rsid w:val="003F4245"/>
    <w:rsid w:val="004070A4"/>
    <w:rsid w:val="00411BFB"/>
    <w:rsid w:val="0042201E"/>
    <w:rsid w:val="0042732E"/>
    <w:rsid w:val="00430861"/>
    <w:rsid w:val="0044729F"/>
    <w:rsid w:val="00472FCA"/>
    <w:rsid w:val="00474777"/>
    <w:rsid w:val="00482DD3"/>
    <w:rsid w:val="00484E54"/>
    <w:rsid w:val="004A6F67"/>
    <w:rsid w:val="004C535D"/>
    <w:rsid w:val="004D6756"/>
    <w:rsid w:val="004E1029"/>
    <w:rsid w:val="004E73E9"/>
    <w:rsid w:val="004F3933"/>
    <w:rsid w:val="004F5E84"/>
    <w:rsid w:val="00501201"/>
    <w:rsid w:val="00503D2A"/>
    <w:rsid w:val="005073FC"/>
    <w:rsid w:val="00513586"/>
    <w:rsid w:val="00520068"/>
    <w:rsid w:val="00520E56"/>
    <w:rsid w:val="00521337"/>
    <w:rsid w:val="00541007"/>
    <w:rsid w:val="005600E9"/>
    <w:rsid w:val="00560F36"/>
    <w:rsid w:val="00564836"/>
    <w:rsid w:val="00581A17"/>
    <w:rsid w:val="00585ED1"/>
    <w:rsid w:val="0059635F"/>
    <w:rsid w:val="0059669E"/>
    <w:rsid w:val="00597DEA"/>
    <w:rsid w:val="005A449A"/>
    <w:rsid w:val="005C5FBD"/>
    <w:rsid w:val="005D2352"/>
    <w:rsid w:val="005E339F"/>
    <w:rsid w:val="00602998"/>
    <w:rsid w:val="00611760"/>
    <w:rsid w:val="0061417C"/>
    <w:rsid w:val="00624B2D"/>
    <w:rsid w:val="00627F29"/>
    <w:rsid w:val="006301B6"/>
    <w:rsid w:val="00630946"/>
    <w:rsid w:val="00671A54"/>
    <w:rsid w:val="0067250F"/>
    <w:rsid w:val="006851B8"/>
    <w:rsid w:val="006A1E86"/>
    <w:rsid w:val="006A3B7A"/>
    <w:rsid w:val="006A3D38"/>
    <w:rsid w:val="006A45EF"/>
    <w:rsid w:val="006A5F7F"/>
    <w:rsid w:val="006A6977"/>
    <w:rsid w:val="006B3A68"/>
    <w:rsid w:val="006F2367"/>
    <w:rsid w:val="00700CEA"/>
    <w:rsid w:val="00701F12"/>
    <w:rsid w:val="0072385A"/>
    <w:rsid w:val="007247EB"/>
    <w:rsid w:val="00744193"/>
    <w:rsid w:val="0075457D"/>
    <w:rsid w:val="00756B2D"/>
    <w:rsid w:val="00772360"/>
    <w:rsid w:val="007826B2"/>
    <w:rsid w:val="007B42DA"/>
    <w:rsid w:val="007C2AFB"/>
    <w:rsid w:val="007C4ACA"/>
    <w:rsid w:val="007D60C4"/>
    <w:rsid w:val="007E3A92"/>
    <w:rsid w:val="007E3BBC"/>
    <w:rsid w:val="007F4F25"/>
    <w:rsid w:val="00803F2F"/>
    <w:rsid w:val="00815F48"/>
    <w:rsid w:val="00822FFA"/>
    <w:rsid w:val="008372A6"/>
    <w:rsid w:val="00843378"/>
    <w:rsid w:val="00864909"/>
    <w:rsid w:val="00867DC0"/>
    <w:rsid w:val="008808AD"/>
    <w:rsid w:val="00880B89"/>
    <w:rsid w:val="008A2060"/>
    <w:rsid w:val="008A7860"/>
    <w:rsid w:val="008C1872"/>
    <w:rsid w:val="008C4BED"/>
    <w:rsid w:val="008D2CBE"/>
    <w:rsid w:val="008D3C05"/>
    <w:rsid w:val="008E66A0"/>
    <w:rsid w:val="008E66FF"/>
    <w:rsid w:val="008F0EFD"/>
    <w:rsid w:val="0090060D"/>
    <w:rsid w:val="00904089"/>
    <w:rsid w:val="00935A7C"/>
    <w:rsid w:val="00961686"/>
    <w:rsid w:val="0097256B"/>
    <w:rsid w:val="009737FC"/>
    <w:rsid w:val="00977539"/>
    <w:rsid w:val="0098282B"/>
    <w:rsid w:val="009A6FA9"/>
    <w:rsid w:val="009C32E0"/>
    <w:rsid w:val="009C7011"/>
    <w:rsid w:val="009D2230"/>
    <w:rsid w:val="009F2E63"/>
    <w:rsid w:val="009F3FA6"/>
    <w:rsid w:val="00A0502D"/>
    <w:rsid w:val="00A2278E"/>
    <w:rsid w:val="00A252A4"/>
    <w:rsid w:val="00A50724"/>
    <w:rsid w:val="00A521D2"/>
    <w:rsid w:val="00A526EA"/>
    <w:rsid w:val="00A57DD9"/>
    <w:rsid w:val="00A67B0A"/>
    <w:rsid w:val="00A71C38"/>
    <w:rsid w:val="00A766D4"/>
    <w:rsid w:val="00A81EA2"/>
    <w:rsid w:val="00AA5BCC"/>
    <w:rsid w:val="00AB44EB"/>
    <w:rsid w:val="00AD3867"/>
    <w:rsid w:val="00AE2CB0"/>
    <w:rsid w:val="00AF3F91"/>
    <w:rsid w:val="00B031AF"/>
    <w:rsid w:val="00B23652"/>
    <w:rsid w:val="00B26025"/>
    <w:rsid w:val="00B3050D"/>
    <w:rsid w:val="00B5758E"/>
    <w:rsid w:val="00B575B3"/>
    <w:rsid w:val="00B76C87"/>
    <w:rsid w:val="00B87932"/>
    <w:rsid w:val="00B962B2"/>
    <w:rsid w:val="00BA2D46"/>
    <w:rsid w:val="00BA3009"/>
    <w:rsid w:val="00BA4726"/>
    <w:rsid w:val="00BB3964"/>
    <w:rsid w:val="00BC0D1A"/>
    <w:rsid w:val="00BD6EB2"/>
    <w:rsid w:val="00BE3D9F"/>
    <w:rsid w:val="00BF4934"/>
    <w:rsid w:val="00C316A7"/>
    <w:rsid w:val="00C448DF"/>
    <w:rsid w:val="00C45E63"/>
    <w:rsid w:val="00C47337"/>
    <w:rsid w:val="00C53AC4"/>
    <w:rsid w:val="00C612DD"/>
    <w:rsid w:val="00C71757"/>
    <w:rsid w:val="00C76BCA"/>
    <w:rsid w:val="00CB4000"/>
    <w:rsid w:val="00CD4C1F"/>
    <w:rsid w:val="00CE422A"/>
    <w:rsid w:val="00D00A18"/>
    <w:rsid w:val="00D131B3"/>
    <w:rsid w:val="00D165E9"/>
    <w:rsid w:val="00D36B6D"/>
    <w:rsid w:val="00D415AD"/>
    <w:rsid w:val="00D4274F"/>
    <w:rsid w:val="00D55A6F"/>
    <w:rsid w:val="00D64EB1"/>
    <w:rsid w:val="00D70254"/>
    <w:rsid w:val="00D75B4A"/>
    <w:rsid w:val="00D77AD7"/>
    <w:rsid w:val="00D90D2B"/>
    <w:rsid w:val="00D94436"/>
    <w:rsid w:val="00DA5884"/>
    <w:rsid w:val="00DB1996"/>
    <w:rsid w:val="00DB24C8"/>
    <w:rsid w:val="00DB3873"/>
    <w:rsid w:val="00DC4E7F"/>
    <w:rsid w:val="00DC6BDB"/>
    <w:rsid w:val="00DE393B"/>
    <w:rsid w:val="00DF3F45"/>
    <w:rsid w:val="00E0207F"/>
    <w:rsid w:val="00E27193"/>
    <w:rsid w:val="00E345A1"/>
    <w:rsid w:val="00E42298"/>
    <w:rsid w:val="00E5217E"/>
    <w:rsid w:val="00E53C8D"/>
    <w:rsid w:val="00E57C2E"/>
    <w:rsid w:val="00E61DBE"/>
    <w:rsid w:val="00E66497"/>
    <w:rsid w:val="00E83DEF"/>
    <w:rsid w:val="00EA3B1E"/>
    <w:rsid w:val="00EB561C"/>
    <w:rsid w:val="00ED0073"/>
    <w:rsid w:val="00ED3385"/>
    <w:rsid w:val="00EE219D"/>
    <w:rsid w:val="00EF4C0E"/>
    <w:rsid w:val="00EF68C5"/>
    <w:rsid w:val="00F05FAB"/>
    <w:rsid w:val="00F05FDE"/>
    <w:rsid w:val="00F16785"/>
    <w:rsid w:val="00F23F1F"/>
    <w:rsid w:val="00F30AC1"/>
    <w:rsid w:val="00F32194"/>
    <w:rsid w:val="00F6552F"/>
    <w:rsid w:val="00F76E11"/>
    <w:rsid w:val="00F8063C"/>
    <w:rsid w:val="00F82CC1"/>
    <w:rsid w:val="00F86656"/>
    <w:rsid w:val="00F87CC5"/>
    <w:rsid w:val="00F87FCE"/>
    <w:rsid w:val="00FB402F"/>
    <w:rsid w:val="00FD28CF"/>
    <w:rsid w:val="00FD6E73"/>
    <w:rsid w:val="00FE11F7"/>
    <w:rsid w:val="00FE4166"/>
    <w:rsid w:val="00FF16DA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D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6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3092-6FC3-47B2-B43E-F6B737A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3297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186</cp:revision>
  <cp:lastPrinted>2023-05-11T05:08:00Z</cp:lastPrinted>
  <dcterms:created xsi:type="dcterms:W3CDTF">2018-07-18T09:31:00Z</dcterms:created>
  <dcterms:modified xsi:type="dcterms:W3CDTF">2023-05-11T05:11:00Z</dcterms:modified>
</cp:coreProperties>
</file>